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3096"/>
      </w:tblGrid>
      <w:tr>
        <w:tc>
          <w:tcPr>
            <w:tcW w:type="dxa" w:w="5328"/>
            <w:shd w:fill="18253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20"/>
            </w:pPr>
            <w:r>
              <w:rPr>
                <w:rFonts w:ascii="Aptos" w:hAnsi="Aptos"/>
                <w:b/>
                <w:color w:val="FFFFFF"/>
                <w:sz w:val="44"/>
              </w:rPr>
              <w:t>NEURARF</w:t>
            </w:r>
            <w:r>
              <w:rPr>
                <w:rFonts w:ascii="Aptos" w:hAnsi="Aptos"/>
                <w:b/>
                <w:color w:val="C7CDD4"/>
                <w:sz w:val="26"/>
              </w:rPr>
              <w:t xml:space="preserve"> TECHNOLOGIES LTD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RF • ADVANCED ELECTRONICS • SOFTWARE • SYSTEMS INTEGRATION</w:t>
            </w:r>
          </w:p>
        </w:tc>
        <w:tc>
          <w:tcPr>
            <w:tcW w:type="dxa" w:w="5328"/>
            <w:shd w:fill="18253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24"/>
              </w:rPr>
              <w:t>CAPABILITY</w:t>
              <w:br/>
              <w:t>STATEMENT</w:t>
            </w:r>
          </w:p>
        </w:tc>
      </w:tr>
    </w:tbl>
    <w:p>
      <w:pPr>
        <w:spacing w:before="120" w:after="100"/>
      </w:pPr>
      <w:r>
        <w:rPr>
          <w:rFonts w:ascii="Aptos" w:hAnsi="Aptos"/>
          <w:b w:val="0"/>
          <w:sz w:val="18"/>
        </w:rPr>
        <w:t>NeuraRF Technologies Ltd is a UK-registered technology company focused on practical, project-led solutions across RF technology, software development, IT consultancy and technology sourcing. We support organisations that need a flexible partner to connect specialist technology, engineering coordination and software into a deliverable solution.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184"/>
      </w:tblGrid>
      <w:tr>
        <w:tc>
          <w:tcPr>
            <w:tcW w:type="dxa" w:w="5328"/>
            <w:tcMar>
              <w:top w:w="60" w:type="dxa"/>
              <w:start w:w="120" w:type="dxa"/>
              <w:bottom w:w="60" w:type="dxa"/>
              <w:end w:w="120" w:type="dxa"/>
            </w:tcMar>
            <w:vAlign w:val="top"/>
          </w:tcPr>
          <w:p/>
          <w:p>
            <w:pPr>
              <w:spacing w:before="40" w:after="60"/>
            </w:pPr>
            <w:r>
              <w:rPr>
                <w:rFonts w:ascii="Aptos" w:hAnsi="Aptos"/>
                <w:b/>
                <w:color w:val="182536"/>
                <w:sz w:val="20"/>
              </w:rPr>
              <w:t>CORE CAPABILITIES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RF and wireless technology solutions, including technical consultation, deployment support and integration.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Custom software development and engineering-oriented applications.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IT consultancy, network and IoT integration for connected systems.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Technical sourcing and supplier coordination for specialist electronic and technology requirements.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Testing, documentation, project support and post-delivery technical assistance.</w:t>
            </w:r>
          </w:p>
          <w:p>
            <w:pPr>
              <w:spacing w:before="40" w:after="60"/>
            </w:pPr>
            <w:r>
              <w:rPr>
                <w:rFonts w:ascii="Aptos" w:hAnsi="Aptos"/>
                <w:b/>
                <w:color w:val="182536"/>
                <w:sz w:val="20"/>
              </w:rPr>
              <w:t>HOW WE ENGAGE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Project-based engineering and technology supply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Software development and technical consultancy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Sourcing and integration assignments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Remote support and recurring technical services</w:t>
            </w:r>
          </w:p>
          <w:p>
            <w:pPr>
              <w:spacing w:before="40" w:after="60"/>
            </w:pPr>
            <w:r>
              <w:rPr>
                <w:rFonts w:ascii="Aptos" w:hAnsi="Aptos"/>
                <w:b/>
                <w:color w:val="182536"/>
                <w:sz w:val="20"/>
              </w:rPr>
              <w:t>TARGET SECTORS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Technology and systems integration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Industrial and specialist electronics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RF / wireless and IoT applications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Public-sector and regulated procurement, subject to applicable tender and export-control requirements</w:t>
            </w:r>
          </w:p>
        </w:tc>
        <w:tc>
          <w:tcPr>
            <w:tcW w:type="dxa" w:w="5328"/>
            <w:tcMar>
              <w:top w:w="60" w:type="dxa"/>
              <w:start w:w="120" w:type="dxa"/>
              <w:bottom w:w="60" w:type="dxa"/>
              <w:end w:w="120" w:type="dxa"/>
            </w:tcMar>
            <w:vAlign w:val="top"/>
          </w:tcPr>
          <w:p/>
          <w:p>
            <w:pPr>
              <w:spacing w:before="40" w:after="60"/>
            </w:pPr>
            <w:r>
              <w:rPr>
                <w:rFonts w:ascii="Aptos" w:hAnsi="Aptos"/>
                <w:b/>
                <w:color w:val="182536"/>
                <w:sz w:val="20"/>
              </w:rPr>
              <w:t>WHY NEURARF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UK limited company with a technology and software-focused business profile.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Cross-border operating perspective connecting UK commercial structures with international sourcing and delivery.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Flexible delivery model combining specialist external resources with project management.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Ability to package hardware, software, integration and support rather than offering a single isolated component.</w:t>
            </w:r>
          </w:p>
          <w:p>
            <w:pPr>
              <w:spacing w:before="40" w:after="60"/>
            </w:pPr>
            <w:r>
              <w:rPr>
                <w:rFonts w:ascii="Aptos" w:hAnsi="Aptos"/>
                <w:b/>
                <w:color w:val="182536"/>
                <w:sz w:val="20"/>
              </w:rPr>
              <w:t>COMMERCIAL FOCUS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High-value, low-volume B2B technology projects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Recurring software and engineering support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Long-term customer relationships through maintenance, updates and technical support</w:t>
            </w:r>
          </w:p>
          <w:p>
            <w:pPr>
              <w:spacing w:after="40"/>
              <w:ind w:left="144" w:hanging="144"/>
            </w:pPr>
            <w:r>
              <w:rPr>
                <w:rFonts w:ascii="Aptos" w:hAnsi="Aptos"/>
                <w:b/>
                <w:color w:val="5B6775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sz w:val="17"/>
              </w:rPr>
              <w:t>International customer and supplier development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28"/>
            </w:tblGrid>
            <w:tr>
              <w:tc>
                <w:tcPr>
                  <w:tcW w:type="dxa" w:w="5328"/>
                  <w:shd w:fill="F3F5F7"/>
                  <w:tcMar>
                    <w:top w:w="110" w:type="dxa"/>
                    <w:start w:w="120" w:type="dxa"/>
                    <w:bottom w:w="110" w:type="dxa"/>
                    <w:end w:w="120" w:type="dxa"/>
                  </w:tcMar>
                </w:tcPr>
                <w:p>
                  <w:r>
                    <w:rPr>
                      <w:rFonts w:ascii="Aptos" w:hAnsi="Aptos"/>
                      <w:b/>
                      <w:color w:val="182536"/>
                      <w:sz w:val="19"/>
                    </w:rPr>
                    <w:t>VALUE PROPOSITION</w:t>
                  </w:r>
                </w:p>
                <w:p>
                  <w:pPr>
                    <w:spacing w:after="0"/>
                  </w:pPr>
                  <w:r>
                    <w:rPr>
                      <w:rFonts w:ascii="Aptos" w:hAnsi="Aptos"/>
                      <w:b w:val="0"/>
                      <w:sz w:val="17"/>
                    </w:rPr>
                    <w:t>One accountable commercial partner for specialist technology sourcing, software, integration coordination and technical support.</w:t>
                  </w:r>
                </w:p>
              </w:tc>
            </w:tr>
          </w:tbl>
          <w:p/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3672"/>
        <w:gridCol w:w="3672"/>
      </w:tblGrid>
      <w:tr>
        <w:tc>
          <w:tcPr>
            <w:tcW w:type="dxa" w:w="3552"/>
            <w:shd w:fill="18253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color w:val="C7CDD4"/>
                <w:sz w:val="15"/>
              </w:rPr>
              <w:t>COMPANY</w:t>
              <w:br/>
            </w:r>
            <w:r>
              <w:rPr>
                <w:rFonts w:ascii="Aptos" w:hAnsi="Aptos"/>
                <w:b/>
                <w:color w:val="FFFFFF"/>
                <w:sz w:val="16"/>
              </w:rPr>
              <w:t>NeuraRF Technologies Ltd</w:t>
              <w:br/>
              <w:t>Company No. 16836640</w:t>
            </w:r>
          </w:p>
        </w:tc>
        <w:tc>
          <w:tcPr>
            <w:tcW w:type="dxa" w:w="3552"/>
            <w:shd w:fill="18253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color w:val="C7CDD4"/>
                <w:sz w:val="15"/>
              </w:rPr>
              <w:t>REGISTERED OFFICE</w:t>
              <w:br/>
            </w:r>
            <w:r>
              <w:rPr>
                <w:rFonts w:ascii="Aptos" w:hAnsi="Aptos"/>
                <w:b/>
                <w:color w:val="FFFFFF"/>
                <w:sz w:val="16"/>
              </w:rPr>
              <w:t>London, United Kingdom</w:t>
              <w:br/>
              <w:t>England &amp; Wales</w:t>
            </w:r>
          </w:p>
        </w:tc>
        <w:tc>
          <w:tcPr>
            <w:tcW w:type="dxa" w:w="3552"/>
            <w:shd w:fill="182536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color w:val="C7CDD4"/>
                <w:sz w:val="15"/>
              </w:rPr>
              <w:t>WEB</w:t>
              <w:br/>
            </w:r>
            <w:r>
              <w:rPr>
                <w:rFonts w:ascii="Aptos" w:hAnsi="Aptos"/>
                <w:b/>
                <w:color w:val="FFFFFF"/>
                <w:sz w:val="16"/>
              </w:rPr>
              <w:t>neurarf.com</w:t>
              <w:br/>
              <w:t>Business enquiries via website</w:t>
            </w:r>
          </w:p>
        </w:tc>
      </w:tr>
    </w:tbl>
    <w:p>
      <w:pPr>
        <w:spacing w:before="60" w:after="0"/>
        <w:jc w:val="center"/>
      </w:pPr>
      <w:r>
        <w:rPr>
          <w:rFonts w:ascii="Aptos" w:hAnsi="Aptos"/>
          <w:b w:val="0"/>
          <w:color w:val="5B6775"/>
          <w:sz w:val="13"/>
        </w:rPr>
        <w:t>Company registration details: Companies House. Capability descriptions align with NeuraRF's published website and planned B2B service positioning.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